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365" w:rsidRPr="00112365" w:rsidRDefault="00112365" w:rsidP="00112365">
      <w:pPr>
        <w:spacing w:after="0" w:line="240" w:lineRule="auto"/>
        <w:jc w:val="center"/>
        <w:rPr>
          <w:rFonts w:ascii="Times New Roman" w:eastAsia="Times New Roman" w:hAnsi="Times New Roman" w:cs="Times New Roman"/>
          <w:b/>
          <w:sz w:val="24"/>
          <w:szCs w:val="24"/>
          <w:lang w:eastAsia="lt-LT"/>
        </w:rPr>
      </w:pPr>
      <w:bookmarkStart w:id="0" w:name="_GoBack"/>
      <w:bookmarkEnd w:id="0"/>
      <w:r w:rsidRPr="00112365">
        <w:rPr>
          <w:rFonts w:ascii="Times New Roman" w:eastAsia="Times New Roman" w:hAnsi="Times New Roman" w:cs="Times New Roman"/>
          <w:b/>
          <w:sz w:val="24"/>
          <w:szCs w:val="24"/>
          <w:lang w:eastAsia="lt-LT"/>
        </w:rPr>
        <w:t>ANYKŠČIŲ RAJONO SAVIVALDYBĖS</w:t>
      </w:r>
    </w:p>
    <w:p w:rsidR="00112365" w:rsidRPr="00112365" w:rsidRDefault="00112365" w:rsidP="00112365">
      <w:pPr>
        <w:spacing w:after="0" w:line="240" w:lineRule="auto"/>
        <w:jc w:val="center"/>
        <w:rPr>
          <w:rFonts w:ascii="Times New Roman" w:eastAsia="Times New Roman" w:hAnsi="Times New Roman" w:cs="Times New Roman"/>
          <w:b/>
          <w:sz w:val="24"/>
          <w:szCs w:val="24"/>
          <w:lang w:eastAsia="lt-LT"/>
        </w:rPr>
      </w:pPr>
    </w:p>
    <w:p w:rsidR="00112365" w:rsidRPr="00112365" w:rsidRDefault="00112365" w:rsidP="00112365">
      <w:pPr>
        <w:spacing w:after="0" w:line="240" w:lineRule="auto"/>
        <w:jc w:val="center"/>
        <w:rPr>
          <w:rFonts w:ascii="Times New Roman" w:eastAsia="Times New Roman" w:hAnsi="Times New Roman" w:cs="Times New Roman"/>
          <w:b/>
          <w:sz w:val="24"/>
          <w:szCs w:val="24"/>
          <w:lang w:eastAsia="lt-LT"/>
        </w:rPr>
      </w:pPr>
      <w:r w:rsidRPr="00112365">
        <w:rPr>
          <w:rFonts w:ascii="Times New Roman" w:eastAsia="Times New Roman" w:hAnsi="Times New Roman" w:cs="Times New Roman"/>
          <w:b/>
          <w:sz w:val="24"/>
          <w:szCs w:val="24"/>
          <w:lang w:eastAsia="lt-LT"/>
        </w:rPr>
        <w:t>TEISĖS AKTŲ PROJEKTŲ ANTIKORUPCINIO VERTINIMO PAŽYMA</w:t>
      </w:r>
    </w:p>
    <w:p w:rsidR="00112365" w:rsidRPr="00112365" w:rsidRDefault="00112365" w:rsidP="00112365">
      <w:pPr>
        <w:spacing w:after="0" w:line="240" w:lineRule="auto"/>
        <w:rPr>
          <w:rFonts w:ascii="Times New Roman" w:eastAsia="Times New Roman" w:hAnsi="Times New Roman" w:cs="Times New Roman"/>
          <w:sz w:val="24"/>
          <w:szCs w:val="24"/>
          <w:lang w:eastAsia="lt-LT"/>
        </w:rPr>
      </w:pPr>
    </w:p>
    <w:p w:rsidR="00112365" w:rsidRDefault="00112365" w:rsidP="00112365">
      <w:pPr>
        <w:spacing w:after="0"/>
        <w:jc w:val="both"/>
        <w:rPr>
          <w:rFonts w:ascii="Times New Roman" w:eastAsia="Times New Roman" w:hAnsi="Times New Roman" w:cs="Times New Roman"/>
          <w:sz w:val="24"/>
          <w:szCs w:val="24"/>
          <w:lang w:eastAsia="lt-LT"/>
        </w:rPr>
      </w:pPr>
      <w:r w:rsidRPr="00112365">
        <w:rPr>
          <w:rFonts w:ascii="Times New Roman" w:eastAsia="Times New Roman" w:hAnsi="Times New Roman" w:cs="Times New Roman"/>
          <w:sz w:val="24"/>
          <w:szCs w:val="24"/>
          <w:lang w:eastAsia="lt-LT"/>
        </w:rPr>
        <w:t xml:space="preserve">Teisės akto projekto pavadinimas: </w:t>
      </w:r>
      <w:r w:rsidR="00960EF0">
        <w:rPr>
          <w:rFonts w:ascii="Times New Roman" w:eastAsia="Times New Roman" w:hAnsi="Times New Roman" w:cs="Times New Roman"/>
          <w:sz w:val="24"/>
          <w:szCs w:val="24"/>
          <w:lang w:eastAsia="lt-LT"/>
        </w:rPr>
        <w:t xml:space="preserve">Dėl </w:t>
      </w:r>
      <w:r w:rsidR="00960EF0" w:rsidRPr="00960EF0">
        <w:rPr>
          <w:rFonts w:ascii="Times New Roman" w:eastAsia="Times New Roman" w:hAnsi="Times New Roman" w:cs="Times New Roman"/>
          <w:sz w:val="24"/>
          <w:szCs w:val="24"/>
          <w:lang w:eastAsia="lt-LT"/>
        </w:rPr>
        <w:t>maksimalių trumpalaikės ar ilgalaikės socialinės glo</w:t>
      </w:r>
      <w:r w:rsidR="00960EF0">
        <w:rPr>
          <w:rFonts w:ascii="Times New Roman" w:eastAsia="Times New Roman" w:hAnsi="Times New Roman" w:cs="Times New Roman"/>
          <w:sz w:val="24"/>
          <w:szCs w:val="24"/>
          <w:lang w:eastAsia="lt-LT"/>
        </w:rPr>
        <w:t>bos išlaidų finansavimo dydžių A</w:t>
      </w:r>
      <w:r w:rsidR="00960EF0" w:rsidRPr="00960EF0">
        <w:rPr>
          <w:rFonts w:ascii="Times New Roman" w:eastAsia="Times New Roman" w:hAnsi="Times New Roman" w:cs="Times New Roman"/>
          <w:sz w:val="24"/>
          <w:szCs w:val="24"/>
          <w:lang w:eastAsia="lt-LT"/>
        </w:rPr>
        <w:t>nykščių rajono savi</w:t>
      </w:r>
      <w:r w:rsidR="00510C0F">
        <w:rPr>
          <w:rFonts w:ascii="Times New Roman" w:eastAsia="Times New Roman" w:hAnsi="Times New Roman" w:cs="Times New Roman"/>
          <w:sz w:val="24"/>
          <w:szCs w:val="24"/>
          <w:lang w:eastAsia="lt-LT"/>
        </w:rPr>
        <w:t>valdybės gyventojams nustatymo.</w:t>
      </w:r>
    </w:p>
    <w:p w:rsidR="00112365" w:rsidRPr="00112365" w:rsidRDefault="00112365" w:rsidP="00112365">
      <w:pPr>
        <w:spacing w:after="0"/>
        <w:jc w:val="both"/>
        <w:rPr>
          <w:rFonts w:ascii="Times New Roman" w:eastAsia="Times New Roman" w:hAnsi="Times New Roman" w:cs="Times New Roman"/>
          <w:sz w:val="24"/>
          <w:szCs w:val="24"/>
          <w:lang w:eastAsia="lt-LT"/>
        </w:rPr>
      </w:pPr>
      <w:r w:rsidRPr="00112365">
        <w:rPr>
          <w:rFonts w:ascii="Times New Roman" w:eastAsia="Times New Roman" w:hAnsi="Times New Roman" w:cs="Times New Roman"/>
          <w:sz w:val="24"/>
          <w:szCs w:val="24"/>
          <w:lang w:eastAsia="lt-LT"/>
        </w:rPr>
        <w:t xml:space="preserve">Teisės akto projekto tiesioginis rengėjas: </w:t>
      </w:r>
      <w:r>
        <w:rPr>
          <w:rFonts w:ascii="Times New Roman" w:eastAsia="Calibri" w:hAnsi="Times New Roman" w:cs="Times New Roman"/>
          <w:sz w:val="24"/>
        </w:rPr>
        <w:t xml:space="preserve">Socialinės paramos skyriaus vyriausioji specialistė Vaida </w:t>
      </w:r>
      <w:proofErr w:type="spellStart"/>
      <w:r>
        <w:rPr>
          <w:rFonts w:ascii="Times New Roman" w:eastAsia="Calibri" w:hAnsi="Times New Roman" w:cs="Times New Roman"/>
          <w:sz w:val="24"/>
        </w:rPr>
        <w:t>Laurukėnienė</w:t>
      </w:r>
      <w:proofErr w:type="spellEnd"/>
      <w:r w:rsidR="0065690B">
        <w:rPr>
          <w:rFonts w:ascii="Times New Roman" w:eastAsia="Calibri" w:hAnsi="Times New Roman" w:cs="Times New Roman"/>
          <w:sz w:val="24"/>
        </w:rPr>
        <w:t>.</w:t>
      </w:r>
    </w:p>
    <w:p w:rsidR="00112365" w:rsidRPr="00112365" w:rsidRDefault="00112365" w:rsidP="00112365">
      <w:pPr>
        <w:spacing w:after="0"/>
        <w:jc w:val="both"/>
        <w:rPr>
          <w:rFonts w:ascii="Times New Roman" w:eastAsia="Times New Roman" w:hAnsi="Times New Roman" w:cs="Times New Roman"/>
          <w:sz w:val="24"/>
          <w:szCs w:val="24"/>
          <w:lang w:eastAsia="lt-LT"/>
        </w:rPr>
      </w:pPr>
      <w:r w:rsidRPr="00112365">
        <w:rPr>
          <w:rFonts w:ascii="Times New Roman" w:eastAsia="Times New Roman" w:hAnsi="Times New Roman" w:cs="Times New Roman"/>
          <w:sz w:val="24"/>
          <w:szCs w:val="24"/>
          <w:lang w:eastAsia="lt-LT"/>
        </w:rPr>
        <w:t xml:space="preserve">Antikorupciniu požiūriu rizikingos teisės akto projekto nuostatos: </w:t>
      </w:r>
      <w:r w:rsidRPr="00112365">
        <w:rPr>
          <w:rFonts w:ascii="Times New Roman" w:eastAsia="Times New Roman" w:hAnsi="Times New Roman" w:cs="Times New Roman"/>
          <w:i/>
          <w:sz w:val="24"/>
          <w:szCs w:val="24"/>
          <w:lang w:eastAsia="lt-LT"/>
        </w:rPr>
        <w:t>(nurodyti kriterijaus numerį, kurį taikant nustatytai korupcijos rizikai šalinti ar valdyti teisės akto projekte nenumatyta priemonių)</w:t>
      </w:r>
      <w:r w:rsidRPr="00112365">
        <w:rPr>
          <w:rFonts w:ascii="Times New Roman" w:eastAsia="Times New Roman" w:hAnsi="Times New Roman" w:cs="Times New Roman"/>
          <w:sz w:val="24"/>
          <w:szCs w:val="24"/>
          <w:vertAlign w:val="superscript"/>
          <w:lang w:eastAsia="lt-LT"/>
        </w:rPr>
        <w:footnoteReference w:id="1"/>
      </w:r>
      <w:r w:rsidRPr="00112365">
        <w:rPr>
          <w:rFonts w:ascii="Times New Roman" w:eastAsia="Times New Roman" w:hAnsi="Times New Roman" w:cs="Times New Roman"/>
          <w:sz w:val="24"/>
          <w:szCs w:val="24"/>
          <w:lang w:eastAsia="lt-LT"/>
        </w:rPr>
        <w:t xml:space="preserve">: </w:t>
      </w:r>
    </w:p>
    <w:p w:rsidR="00112365" w:rsidRPr="00112365" w:rsidRDefault="00112365" w:rsidP="00112365">
      <w:pPr>
        <w:spacing w:after="0"/>
        <w:jc w:val="both"/>
        <w:rPr>
          <w:rFonts w:ascii="Times New Roman" w:eastAsia="Times New Roman" w:hAnsi="Times New Roman" w:cs="Times New Roman"/>
          <w:sz w:val="24"/>
          <w:szCs w:val="24"/>
          <w:lang w:eastAsia="lt-LT"/>
        </w:rPr>
      </w:pPr>
      <w:r w:rsidRPr="00112365">
        <w:rPr>
          <w:rFonts w:ascii="Times New Roman" w:eastAsia="Times New Roman" w:hAnsi="Times New Roman" w:cs="Times New Roman"/>
          <w:sz w:val="24"/>
          <w:szCs w:val="24"/>
          <w:lang w:eastAsia="lt-LT"/>
        </w:rPr>
        <w:t xml:space="preserve">Antikorupciniu požiūriu rizikingos teisės akto projekto nuostatos, nustatytos atliekant antikorupcinį vertinimą po </w:t>
      </w:r>
      <w:proofErr w:type="spellStart"/>
      <w:r w:rsidRPr="00112365">
        <w:rPr>
          <w:rFonts w:ascii="Times New Roman" w:eastAsia="Times New Roman" w:hAnsi="Times New Roman" w:cs="Times New Roman"/>
          <w:sz w:val="24"/>
          <w:szCs w:val="24"/>
          <w:lang w:eastAsia="lt-LT"/>
        </w:rPr>
        <w:t>tarpinstitucinio</w:t>
      </w:r>
      <w:proofErr w:type="spellEnd"/>
      <w:r w:rsidRPr="00112365">
        <w:rPr>
          <w:rFonts w:ascii="Times New Roman" w:eastAsia="Times New Roman" w:hAnsi="Times New Roman" w:cs="Times New Roman"/>
          <w:sz w:val="24"/>
          <w:szCs w:val="24"/>
          <w:lang w:eastAsia="lt-LT"/>
        </w:rPr>
        <w:t xml:space="preserve"> derinimo</w:t>
      </w:r>
      <w:r w:rsidRPr="00112365">
        <w:rPr>
          <w:rFonts w:ascii="Times New Roman" w:eastAsia="Times New Roman" w:hAnsi="Times New Roman" w:cs="Times New Roman"/>
          <w:b/>
          <w:sz w:val="24"/>
          <w:szCs w:val="24"/>
          <w:lang w:eastAsia="lt-LT"/>
        </w:rPr>
        <w:t xml:space="preserve"> </w:t>
      </w:r>
      <w:r w:rsidRPr="00112365">
        <w:rPr>
          <w:rFonts w:ascii="Times New Roman" w:eastAsia="Times New Roman" w:hAnsi="Times New Roman" w:cs="Times New Roman"/>
          <w:i/>
          <w:sz w:val="24"/>
          <w:szCs w:val="24"/>
          <w:lang w:eastAsia="lt-LT"/>
        </w:rPr>
        <w:t>(nurodyti kriterijaus numerį, kurį taikant nustatytai korupcijos rizikai šalinti ar valdyti teisės akto projekte nenumatyta priemonių)</w:t>
      </w:r>
      <w:r w:rsidRPr="00112365">
        <w:rPr>
          <w:rFonts w:ascii="Times New Roman" w:eastAsia="Times New Roman" w:hAnsi="Times New Roman" w:cs="Times New Roman"/>
          <w:sz w:val="24"/>
          <w:szCs w:val="24"/>
          <w:vertAlign w:val="superscript"/>
          <w:lang w:eastAsia="lt-LT"/>
        </w:rPr>
        <w:footnoteReference w:id="2"/>
      </w:r>
      <w:r w:rsidRPr="00112365">
        <w:rPr>
          <w:rFonts w:ascii="Times New Roman" w:eastAsia="Times New Roman" w:hAnsi="Times New Roman" w:cs="Times New Roman"/>
          <w:sz w:val="24"/>
          <w:szCs w:val="24"/>
          <w:lang w:eastAsia="lt-LT"/>
        </w:rPr>
        <w:t xml:space="preserve">: </w:t>
      </w:r>
    </w:p>
    <w:p w:rsidR="00112365" w:rsidRPr="00112365" w:rsidRDefault="00112365" w:rsidP="00112365">
      <w:pPr>
        <w:spacing w:after="0" w:line="240" w:lineRule="auto"/>
        <w:jc w:val="both"/>
        <w:rPr>
          <w:rFonts w:ascii="Times New Roman" w:eastAsia="Times New Roman" w:hAnsi="Times New Roman" w:cs="Times New Roman"/>
          <w:szCs w:val="20"/>
          <w:lang w:eastAsia="lt-LT"/>
        </w:rPr>
      </w:pPr>
    </w:p>
    <w:tbl>
      <w:tblPr>
        <w:tblStyle w:val="Lentelstinklelis"/>
        <w:tblW w:w="0" w:type="auto"/>
        <w:tblInd w:w="108" w:type="dxa"/>
        <w:tblLook w:val="04A0" w:firstRow="1" w:lastRow="0" w:firstColumn="1" w:lastColumn="0" w:noHBand="0" w:noVBand="1"/>
      </w:tblPr>
      <w:tblGrid>
        <w:gridCol w:w="596"/>
        <w:gridCol w:w="2476"/>
        <w:gridCol w:w="2486"/>
        <w:gridCol w:w="2326"/>
        <w:gridCol w:w="1862"/>
      </w:tblGrid>
      <w:tr w:rsidR="00112365" w:rsidRPr="00112365" w:rsidTr="00141595">
        <w:trPr>
          <w:trHeight w:val="23"/>
          <w:tblHeader/>
        </w:trPr>
        <w:tc>
          <w:tcPr>
            <w:tcW w:w="596"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lang w:eastAsia="lt-LT"/>
              </w:rPr>
            </w:pPr>
            <w:proofErr w:type="spellStart"/>
            <w:r w:rsidRPr="00112365">
              <w:rPr>
                <w:rFonts w:eastAsia="Calibri"/>
                <w:lang w:eastAsia="lt-LT"/>
              </w:rPr>
              <w:t>Eil</w:t>
            </w:r>
            <w:proofErr w:type="spellEnd"/>
            <w:r w:rsidRPr="00112365">
              <w:rPr>
                <w:rFonts w:eastAsia="Calibri"/>
                <w:lang w:eastAsia="lt-LT"/>
              </w:rPr>
              <w:t xml:space="preserve">. </w:t>
            </w:r>
            <w:proofErr w:type="spellStart"/>
            <w:r w:rsidRPr="00112365">
              <w:rPr>
                <w:rFonts w:eastAsia="Calibri"/>
                <w:lang w:eastAsia="lt-LT"/>
              </w:rPr>
              <w:t>Nr</w:t>
            </w:r>
            <w:proofErr w:type="spellEnd"/>
            <w:r w:rsidRPr="00112365">
              <w:rPr>
                <w:rFonts w:eastAsia="Calibri"/>
                <w:lang w:eastAsia="lt-LT"/>
              </w:rPr>
              <w:t>.</w:t>
            </w:r>
          </w:p>
        </w:tc>
        <w:tc>
          <w:tcPr>
            <w:tcW w:w="2476"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lang w:eastAsia="lt-LT"/>
              </w:rPr>
            </w:pPr>
            <w:r w:rsidRPr="00112365">
              <w:rPr>
                <w:rFonts w:eastAsia="Calibri"/>
                <w:lang w:eastAsia="lt-LT"/>
              </w:rPr>
              <w:t>Kriterijus</w:t>
            </w:r>
          </w:p>
        </w:tc>
        <w:tc>
          <w:tcPr>
            <w:tcW w:w="2486"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b/>
                <w:lang w:eastAsia="lt-LT"/>
              </w:rPr>
            </w:pPr>
            <w:r w:rsidRPr="00112365">
              <w:rPr>
                <w:rFonts w:eastAsia="Calibri"/>
                <w:lang w:eastAsia="lt-LT"/>
              </w:rPr>
              <w:t>Pagrindimas (nurodomos konkrečios teisės akto projekto ar kitų teisės aktų nuostatos, pagrindžiančios teigiamą atsakymą, arba pateikiamos antikorupcinį teisės akto projekto vertinimą atliekančio specialisto pastabos ir pasiūlymai dėl korupcijos rizikos mažinimo)</w:t>
            </w:r>
          </w:p>
        </w:tc>
        <w:tc>
          <w:tcPr>
            <w:tcW w:w="2326"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lang w:eastAsia="lt-LT"/>
              </w:rPr>
            </w:pPr>
            <w:r w:rsidRPr="00112365">
              <w:rPr>
                <w:rFonts w:eastAsia="Calibri"/>
                <w:lang w:eastAsia="lt-LT"/>
              </w:rPr>
              <w:t>Teisės akto projekto pakeitimas, mažinantis korupcijos riziką, arba teisės akto projekto tiesioginio rengėjo argumentai, kodėl neatsižvelgta į pastabą</w:t>
            </w:r>
          </w:p>
        </w:tc>
        <w:tc>
          <w:tcPr>
            <w:tcW w:w="1862"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lang w:eastAsia="lt-LT"/>
              </w:rPr>
            </w:pPr>
            <w:r w:rsidRPr="00112365">
              <w:rPr>
                <w:rFonts w:eastAsia="Calibri"/>
                <w:lang w:eastAsia="lt-LT"/>
              </w:rPr>
              <w:t>Išvada dėl teisės akto projekto pakeitimų arba argumentų, kodėl neatsižvelgta į pastabą</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jc w:val="center"/>
              <w:rPr>
                <w:rFonts w:eastAsia="Calibri"/>
                <w:i/>
                <w:lang w:eastAsia="lt-LT"/>
              </w:rPr>
            </w:pPr>
          </w:p>
        </w:tc>
        <w:tc>
          <w:tcPr>
            <w:tcW w:w="247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i/>
                <w:lang w:eastAsia="lt-LT"/>
              </w:rPr>
            </w:pPr>
          </w:p>
        </w:tc>
        <w:tc>
          <w:tcPr>
            <w:tcW w:w="2486"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i/>
                <w:lang w:eastAsia="lt-LT"/>
              </w:rPr>
            </w:pPr>
            <w:r w:rsidRPr="00112365">
              <w:rPr>
                <w:rFonts w:eastAsia="Calibri"/>
                <w:i/>
                <w:lang w:eastAsia="lt-LT"/>
              </w:rPr>
              <w:t>pildo teisės akto projekto vertintojas</w:t>
            </w:r>
          </w:p>
        </w:tc>
        <w:tc>
          <w:tcPr>
            <w:tcW w:w="2326"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i/>
                <w:lang w:eastAsia="lt-LT"/>
              </w:rPr>
            </w:pPr>
            <w:r w:rsidRPr="00112365">
              <w:rPr>
                <w:rFonts w:eastAsia="Calibri"/>
                <w:i/>
                <w:lang w:eastAsia="lt-LT"/>
              </w:rPr>
              <w:t>pildo teisės akto projekto tiesioginis rengėjas</w:t>
            </w:r>
          </w:p>
        </w:tc>
        <w:tc>
          <w:tcPr>
            <w:tcW w:w="1862" w:type="dxa"/>
            <w:tcBorders>
              <w:top w:val="single" w:sz="4" w:space="0" w:color="auto"/>
              <w:left w:val="single" w:sz="4" w:space="0" w:color="auto"/>
              <w:bottom w:val="single" w:sz="4" w:space="0" w:color="auto"/>
              <w:right w:val="single" w:sz="4" w:space="0" w:color="auto"/>
            </w:tcBorders>
            <w:vAlign w:val="center"/>
            <w:hideMark/>
          </w:tcPr>
          <w:p w:rsidR="00112365" w:rsidRPr="00112365" w:rsidRDefault="00112365" w:rsidP="00112365">
            <w:pPr>
              <w:jc w:val="center"/>
              <w:rPr>
                <w:rFonts w:eastAsia="Calibri"/>
                <w:i/>
                <w:lang w:eastAsia="lt-LT"/>
              </w:rPr>
            </w:pPr>
            <w:r w:rsidRPr="00112365">
              <w:rPr>
                <w:rFonts w:eastAsia="Calibri"/>
                <w:i/>
                <w:lang w:eastAsia="lt-LT"/>
              </w:rPr>
              <w:t>pildo teisės akto projekto vertintojas</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Teisės akto projektas nesudaro išskirtinių ar nevienodų sąlygų subjektams, su kuriais susijęs teisės akto įgyvendinimas</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Nesudaro</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b/>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X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center"/>
              <w:rPr>
                <w:rFonts w:eastAsia="Calibri"/>
                <w:lang w:eastAsia="lt-LT"/>
              </w:rPr>
            </w:pPr>
            <w:r w:rsidRPr="00112365">
              <w:rPr>
                <w:rFonts w:eastAsia="Calibri"/>
                <w:lang w:eastAsia="lt-LT"/>
              </w:rPr>
              <w:t>2.</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rPr>
                <w:rFonts w:eastAsia="Calibri"/>
                <w:lang w:eastAsia="lt-LT"/>
              </w:rPr>
            </w:pPr>
            <w:r w:rsidRPr="00112365">
              <w:rPr>
                <w:rFonts w:eastAsia="Calibri"/>
                <w:lang w:eastAsia="lt-LT"/>
              </w:rPr>
              <w:t>Teisės akto projekte nėra spragų ar nuostatų, leisiančių dviprasmiškai aiškinti ir taikyti teisės aktą</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both"/>
              <w:rPr>
                <w:rFonts w:eastAsia="Calibri"/>
                <w:lang w:eastAsia="lt-LT"/>
              </w:rPr>
            </w:pPr>
            <w:r w:rsidRPr="00112365">
              <w:rPr>
                <w:rFonts w:eastAsia="Calibri"/>
                <w:lang w:eastAsia="lt-LT"/>
              </w:rPr>
              <w:t>Nėra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keepNext/>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rPr>
                <w:rFonts w:eastAsia="Calibri"/>
                <w:lang w:eastAsia="lt-LT"/>
              </w:rPr>
            </w:pPr>
            <w:r w:rsidRPr="00112365">
              <w:rPr>
                <w:rFonts w:eastAsia="Calibri"/>
                <w:lang w:eastAsia="lt-LT"/>
              </w:rPr>
              <w:t>X tenkina</w:t>
            </w:r>
          </w:p>
          <w:p w:rsidR="00112365" w:rsidRPr="00112365" w:rsidRDefault="00112365" w:rsidP="00112365">
            <w:pPr>
              <w:keepNext/>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3.</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akto projekte nustatyta, kad sprendimą dėl teisių suteikimo, apribojimų nustatymo, sankcijų taikymo ir panašiai priimantis subjektas atskirtas nuo šių sprendimų teisėtumą ir įgyvendinimą kontroliuojančio (prižiūrinčio) subjekto</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4.</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Teisės akto projekte nustatyti subjekto įgaliojimai (teisės) atitinka subjekto atliekamas funkcijas (pareigas)</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Pr>
                <w:rFonts w:eastAsia="Calibri"/>
                <w:lang w:eastAsia="lt-LT"/>
              </w:rPr>
              <w:t xml:space="preserve">Socialinių paslaugų finansavimo ir lėšų apskaičiavimo metodikos, patvirtintos Lietuvos Respublikos Vyriausybės 2006-10-10 nutarimu </w:t>
            </w:r>
            <w:proofErr w:type="spellStart"/>
            <w:r>
              <w:rPr>
                <w:rFonts w:eastAsia="Calibri"/>
                <w:lang w:eastAsia="lt-LT"/>
              </w:rPr>
              <w:t>Nr</w:t>
            </w:r>
            <w:proofErr w:type="spellEnd"/>
            <w:r>
              <w:rPr>
                <w:rFonts w:eastAsia="Calibri"/>
                <w:lang w:eastAsia="lt-LT"/>
              </w:rPr>
              <w:t xml:space="preserve">. „Dėl socialinių paslaugų </w:t>
            </w:r>
            <w:r>
              <w:rPr>
                <w:rFonts w:eastAsia="Calibri"/>
                <w:lang w:eastAsia="lt-LT"/>
              </w:rPr>
              <w:lastRenderedPageBreak/>
              <w:t xml:space="preserve">finansavimo ir lėšų apskaičiavimo metodikos patvirtinimo“, 32 punkte nustatyta, kad </w:t>
            </w:r>
            <w:r>
              <w:rPr>
                <w:color w:val="000000"/>
              </w:rPr>
              <w:t>Savivaldybė nustato maksimalų trumpalaikės ar ilgalaikės socialinės globos išlaidų finansavimo savo teritorijos gyventojams dydį.</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Pr>
                <w:rFonts w:eastAsia="Calibri"/>
                <w:lang w:eastAsia="lt-LT"/>
              </w:rPr>
              <w:t>X</w:t>
            </w:r>
            <w:r w:rsidRPr="00112365">
              <w:rPr>
                <w:rFonts w:eastAsia="Calibri"/>
                <w:lang w:eastAsia="lt-LT"/>
              </w:rPr>
              <w:t xml:space="preserve">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lastRenderedPageBreak/>
              <w:t>5.</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Teisės akto projekte nustatytas baigtinis sprendimo priėmimo kriterijų (atvejų) sąrašas</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Pr>
                <w:rFonts w:eastAsia="Calibri"/>
                <w:lang w:eastAsia="lt-LT"/>
              </w:rPr>
              <w:t>Baigtinis</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Pr>
                <w:rFonts w:eastAsia="Calibri"/>
                <w:lang w:eastAsia="lt-LT"/>
              </w:rPr>
              <w:t>X</w:t>
            </w:r>
            <w:r w:rsidRPr="00112365">
              <w:rPr>
                <w:rFonts w:eastAsia="Calibri"/>
                <w:lang w:eastAsia="lt-LT"/>
              </w:rPr>
              <w:t xml:space="preserve">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6.</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Teisės akto projekte nustatytas baigtinis sąrašas motyvuotų atvejų, kai priimant sprendimus taikomos išimtys</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7.</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Teisės akto projekte nustatyta sprendimų priėmimo, įforminimo tvarka ir priimtų sprendimų viešinimas</w:t>
            </w:r>
          </w:p>
        </w:tc>
        <w:tc>
          <w:tcPr>
            <w:tcW w:w="248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8.</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Teisės akto projekte nustatyta sprendimų dėl mažareikšmiškumo priėmimo tvarka</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b/>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9.</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Jeigu pagal numatomą reguliavimą sprendimus priima kolegialus subjektas, teisės akto projekte nustatyta kolegialaus sprendimus priimančio subjekto:</w:t>
            </w:r>
          </w:p>
          <w:p w:rsidR="00112365" w:rsidRPr="00112365" w:rsidRDefault="00112365" w:rsidP="00112365">
            <w:pPr>
              <w:ind w:left="33"/>
              <w:contextualSpacing/>
              <w:jc w:val="both"/>
              <w:rPr>
                <w:rFonts w:eastAsia="Calibri"/>
                <w:lang w:eastAsia="lt-LT"/>
              </w:rPr>
            </w:pPr>
            <w:r w:rsidRPr="00112365">
              <w:rPr>
                <w:rFonts w:eastAsia="Calibri"/>
                <w:lang w:eastAsia="lt-LT"/>
              </w:rPr>
              <w:t>9.1. konkretus narių skaičius, užtikrinantis kolegialaus sprendimus priimančio subjekto veiklos objektyvumą;</w:t>
            </w:r>
          </w:p>
          <w:p w:rsidR="00112365" w:rsidRPr="00112365" w:rsidRDefault="00112365" w:rsidP="00112365">
            <w:pPr>
              <w:ind w:left="33"/>
              <w:contextualSpacing/>
              <w:jc w:val="both"/>
              <w:rPr>
                <w:rFonts w:eastAsia="Calibri"/>
                <w:lang w:eastAsia="lt-LT"/>
              </w:rPr>
            </w:pPr>
            <w:r w:rsidRPr="00112365">
              <w:rPr>
                <w:rFonts w:eastAsia="Calibri"/>
                <w:lang w:eastAsia="lt-LT"/>
              </w:rPr>
              <w:t>9.2. jeigu narius skiria keli subjektai, proporcinga kiekvieno subjekto skiriamų narių dalis, užtikrinanti tinkamą atstovavimą valstybės interesams ir kolegialaus sprendimus priimančio subjekto veiklos objektyvumą ir skaidrumą;</w:t>
            </w:r>
          </w:p>
          <w:p w:rsidR="00112365" w:rsidRPr="00112365" w:rsidRDefault="00112365" w:rsidP="00112365">
            <w:pPr>
              <w:jc w:val="both"/>
              <w:rPr>
                <w:rFonts w:eastAsia="Calibri"/>
                <w:lang w:eastAsia="lt-LT"/>
              </w:rPr>
            </w:pPr>
            <w:r w:rsidRPr="00112365">
              <w:rPr>
                <w:rFonts w:eastAsia="Calibri"/>
                <w:lang w:eastAsia="lt-LT"/>
              </w:rPr>
              <w:t>9.3</w:t>
            </w:r>
            <w:r w:rsidRPr="00112365">
              <w:rPr>
                <w:rFonts w:eastAsia="Calibri"/>
                <w:spacing w:val="-4"/>
                <w:lang w:eastAsia="lt-LT"/>
              </w:rPr>
              <w:t>. narių skyrimo mechanizmas;</w:t>
            </w:r>
          </w:p>
          <w:p w:rsidR="00112365" w:rsidRPr="00112365" w:rsidRDefault="00112365" w:rsidP="00112365">
            <w:pPr>
              <w:jc w:val="both"/>
              <w:rPr>
                <w:rFonts w:eastAsia="Calibri"/>
                <w:lang w:eastAsia="lt-LT"/>
              </w:rPr>
            </w:pPr>
            <w:r w:rsidRPr="00112365">
              <w:rPr>
                <w:rFonts w:eastAsia="Calibri"/>
                <w:lang w:eastAsia="lt-LT"/>
              </w:rPr>
              <w:t xml:space="preserve">9.4. narių rotacija ir </w:t>
            </w:r>
            <w:r w:rsidRPr="00112365">
              <w:rPr>
                <w:rFonts w:eastAsia="Calibri"/>
                <w:lang w:eastAsia="lt-LT"/>
              </w:rPr>
              <w:lastRenderedPageBreak/>
              <w:t>kadencijų skaičius ir trukmė;</w:t>
            </w:r>
          </w:p>
          <w:p w:rsidR="00112365" w:rsidRPr="00112365" w:rsidRDefault="00112365" w:rsidP="00112365">
            <w:pPr>
              <w:contextualSpacing/>
              <w:jc w:val="both"/>
              <w:rPr>
                <w:rFonts w:eastAsia="Calibri"/>
                <w:lang w:eastAsia="lt-LT"/>
              </w:rPr>
            </w:pPr>
            <w:r w:rsidRPr="00112365">
              <w:rPr>
                <w:rFonts w:eastAsia="Calibri"/>
                <w:lang w:eastAsia="lt-LT"/>
              </w:rPr>
              <w:t>9.5. veiklos pobūdis laiko atžvilgiu;</w:t>
            </w:r>
          </w:p>
          <w:p w:rsidR="00112365" w:rsidRPr="00112365" w:rsidRDefault="00112365" w:rsidP="00112365">
            <w:pPr>
              <w:jc w:val="both"/>
              <w:rPr>
                <w:rFonts w:eastAsia="Calibri"/>
                <w:lang w:eastAsia="lt-LT"/>
              </w:rPr>
            </w:pPr>
            <w:r w:rsidRPr="00112365">
              <w:rPr>
                <w:rFonts w:eastAsia="Calibri"/>
                <w:lang w:eastAsia="lt-LT"/>
              </w:rPr>
              <w:t>9.6. individuali narių atsakomybė</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lastRenderedPageBreak/>
              <w:t xml:space="preserve">Netaikoma </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lastRenderedPageBreak/>
              <w:t>10.</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 xml:space="preserve">Teisės akto projekto nuostatoms įgyvendinti numatytos administracinės procedūros yra </w:t>
            </w:r>
            <w:r w:rsidRPr="00112365">
              <w:rPr>
                <w:rFonts w:eastAsia="Calibri"/>
                <w:shd w:val="clear" w:color="auto" w:fill="FFFFFF"/>
                <w:lang w:eastAsia="lt-LT"/>
              </w:rPr>
              <w:t>būtinos,</w:t>
            </w:r>
            <w:r w:rsidRPr="00112365">
              <w:rPr>
                <w:rFonts w:eastAsia="Calibri"/>
                <w:lang w:eastAsia="lt-LT"/>
              </w:rPr>
              <w:t xml:space="preserve"> nustatyta išsami jų taikymo tvarka </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center"/>
              <w:rPr>
                <w:rFonts w:eastAsia="Calibri"/>
                <w:lang w:eastAsia="lt-LT"/>
              </w:rPr>
            </w:pPr>
            <w:r w:rsidRPr="00112365">
              <w:rPr>
                <w:rFonts w:eastAsia="Calibri"/>
                <w:lang w:eastAsia="lt-LT"/>
              </w:rPr>
              <w:t>11.</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both"/>
              <w:rPr>
                <w:rFonts w:eastAsia="Calibri"/>
                <w:lang w:eastAsia="lt-LT"/>
              </w:rPr>
            </w:pPr>
            <w:r w:rsidRPr="00112365">
              <w:rPr>
                <w:rFonts w:eastAsia="Calibri"/>
                <w:lang w:eastAsia="lt-LT"/>
              </w:rPr>
              <w:t>Teisės akto projekte nustatytas baigtinis sąrašas motyvuotų atvejų, kai administracinė procedūra netaikoma</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keepNext/>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rPr>
                <w:rFonts w:eastAsia="Calibri"/>
                <w:lang w:eastAsia="lt-LT"/>
              </w:rPr>
            </w:pPr>
            <w:r w:rsidRPr="00112365">
              <w:rPr>
                <w:rFonts w:eastAsia="Calibri"/>
                <w:lang w:eastAsia="lt-LT"/>
              </w:rPr>
              <w:t>□tenkina</w:t>
            </w:r>
          </w:p>
          <w:p w:rsidR="00112365" w:rsidRPr="00112365" w:rsidRDefault="00112365" w:rsidP="00112365">
            <w:pPr>
              <w:keepNext/>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12.</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akto projektas nustato jo nuostatoms įgyvendinti numatytų administracinių procedūrų ir sprendimo priėmimo konkrečius terminus</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13.</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akto projektas nustato motyvuotas terminų sustabdymo ir pratęsimo galimybes</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14.</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akto projektas nustato administracinių procedūrų viešinimo tvarką</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b/>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15.</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akto projektas nustato kontrolės (priežiūros) procedūrą ir aiškius jos atlikimo kriterijus (atvejus, dažnį, fiksavimą, kontrolės rezultatų viešinimą ir panašiai)</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ascii="Calibri" w:hAnsi="Calibri"/>
                <w:color w:val="000000"/>
              </w:rPr>
            </w:pPr>
          </w:p>
          <w:p w:rsidR="00112365" w:rsidRPr="00112365" w:rsidRDefault="00112365" w:rsidP="00112365">
            <w:pPr>
              <w:rPr>
                <w:rFonts w:eastAsia="Calibri"/>
                <w:sz w:val="24"/>
                <w:szCs w:val="24"/>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16.</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akto projekte nustatytos kontrolės (priežiūros) skaidrumo ir objektyvumo užtikrinimo priemonės</w:t>
            </w:r>
            <w:r w:rsidRPr="00112365">
              <w:rPr>
                <w:rFonts w:eastAsia="Calibri"/>
                <w:vertAlign w:val="superscript"/>
                <w:lang w:eastAsia="lt-LT"/>
              </w:rPr>
              <w:footnoteReference w:id="3"/>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 xml:space="preserve">Netaikoma </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center"/>
              <w:rPr>
                <w:rFonts w:eastAsia="Calibri"/>
                <w:lang w:eastAsia="lt-LT"/>
              </w:rPr>
            </w:pPr>
            <w:r w:rsidRPr="00112365">
              <w:rPr>
                <w:rFonts w:eastAsia="Calibri"/>
                <w:lang w:eastAsia="lt-LT"/>
              </w:rPr>
              <w:lastRenderedPageBreak/>
              <w:t>17.</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rPr>
                <w:rFonts w:eastAsia="Calibri"/>
                <w:lang w:eastAsia="lt-LT"/>
              </w:rPr>
            </w:pPr>
            <w:r w:rsidRPr="00112365">
              <w:rPr>
                <w:rFonts w:eastAsia="Calibri"/>
                <w:lang w:eastAsia="lt-LT"/>
              </w:rPr>
              <w:t>Teisės akto projekte nustatyta subjektų, su kuriais susijęs teisės akto projekto nuostatų įgyvendinimas, atsakomybės rūšis (tarnybinė, administracinė, baudžiamoji ir panašiai)</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keepNext/>
              <w:rPr>
                <w:rFonts w:eastAsia="Calibri"/>
                <w:lang w:eastAsia="lt-LT"/>
              </w:rPr>
            </w:pPr>
            <w:r w:rsidRPr="00112365">
              <w:rPr>
                <w:rFonts w:eastAsia="Calibri"/>
                <w:lang w:eastAsia="lt-LT"/>
              </w:rPr>
              <w:t>□ tenkina</w:t>
            </w:r>
          </w:p>
          <w:p w:rsidR="00112365" w:rsidRPr="00112365" w:rsidRDefault="00112365" w:rsidP="00112365">
            <w:pPr>
              <w:keepNext/>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18.</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Teisės aktų projekte numatytas baigtinis sąrašas kriterijų, pagal kuriuos skiriama nuobauda (sankcija) už teisės akto projekte nustatytų nurodymų nevykdymą, ir nustatyta aiški jos skyrimo procedūra</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both"/>
              <w:rPr>
                <w:rFonts w:eastAsia="Calibri"/>
                <w:lang w:eastAsia="lt-LT"/>
              </w:rPr>
            </w:pPr>
            <w:r w:rsidRPr="00112365">
              <w:rPr>
                <w:rFonts w:eastAsia="Calibri"/>
                <w:lang w:eastAsia="lt-LT"/>
              </w:rPr>
              <w:t>Netaikoma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r w:rsidR="00112365" w:rsidRPr="00112365" w:rsidTr="00141595">
        <w:trPr>
          <w:trHeight w:val="23"/>
        </w:trPr>
        <w:tc>
          <w:tcPr>
            <w:tcW w:w="59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jc w:val="center"/>
              <w:rPr>
                <w:rFonts w:eastAsia="Calibri"/>
                <w:lang w:eastAsia="lt-LT"/>
              </w:rPr>
            </w:pPr>
            <w:r w:rsidRPr="00112365">
              <w:rPr>
                <w:rFonts w:eastAsia="Calibri"/>
                <w:lang w:eastAsia="lt-LT"/>
              </w:rPr>
              <w:t>19.</w:t>
            </w:r>
          </w:p>
        </w:tc>
        <w:tc>
          <w:tcPr>
            <w:tcW w:w="247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Kiti svarbūs kriterijai</w:t>
            </w:r>
          </w:p>
        </w:tc>
        <w:tc>
          <w:tcPr>
            <w:tcW w:w="2486"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Nėra.</w:t>
            </w:r>
          </w:p>
        </w:tc>
        <w:tc>
          <w:tcPr>
            <w:tcW w:w="2326" w:type="dxa"/>
            <w:tcBorders>
              <w:top w:val="single" w:sz="4" w:space="0" w:color="auto"/>
              <w:left w:val="single" w:sz="4" w:space="0" w:color="auto"/>
              <w:bottom w:val="single" w:sz="4" w:space="0" w:color="auto"/>
              <w:right w:val="single" w:sz="4" w:space="0" w:color="auto"/>
            </w:tcBorders>
          </w:tcPr>
          <w:p w:rsidR="00112365" w:rsidRPr="00112365" w:rsidRDefault="00112365" w:rsidP="00112365">
            <w:pPr>
              <w:rPr>
                <w:rFonts w:eastAsia="Calibri"/>
                <w:lang w:eastAsia="lt-LT"/>
              </w:rPr>
            </w:pPr>
          </w:p>
        </w:tc>
        <w:tc>
          <w:tcPr>
            <w:tcW w:w="1862" w:type="dxa"/>
            <w:tcBorders>
              <w:top w:val="single" w:sz="4" w:space="0" w:color="auto"/>
              <w:left w:val="single" w:sz="4" w:space="0" w:color="auto"/>
              <w:bottom w:val="single" w:sz="4" w:space="0" w:color="auto"/>
              <w:right w:val="single" w:sz="4" w:space="0" w:color="auto"/>
            </w:tcBorders>
            <w:hideMark/>
          </w:tcPr>
          <w:p w:rsidR="00112365" w:rsidRPr="00112365" w:rsidRDefault="00112365" w:rsidP="00112365">
            <w:pPr>
              <w:rPr>
                <w:rFonts w:eastAsia="Calibri"/>
                <w:lang w:eastAsia="lt-LT"/>
              </w:rPr>
            </w:pPr>
            <w:r w:rsidRPr="00112365">
              <w:rPr>
                <w:rFonts w:eastAsia="Calibri"/>
                <w:lang w:eastAsia="lt-LT"/>
              </w:rPr>
              <w:t>□ tenkina</w:t>
            </w:r>
          </w:p>
          <w:p w:rsidR="00112365" w:rsidRPr="00112365" w:rsidRDefault="00112365" w:rsidP="00112365">
            <w:pPr>
              <w:rPr>
                <w:rFonts w:eastAsia="Calibri"/>
                <w:lang w:eastAsia="lt-LT"/>
              </w:rPr>
            </w:pPr>
            <w:r w:rsidRPr="00112365">
              <w:rPr>
                <w:rFonts w:eastAsia="Calibri"/>
                <w:lang w:eastAsia="lt-LT"/>
              </w:rPr>
              <w:t>□ netenkina</w:t>
            </w:r>
          </w:p>
        </w:tc>
      </w:tr>
    </w:tbl>
    <w:p w:rsidR="00112365" w:rsidRPr="00112365" w:rsidRDefault="00112365" w:rsidP="00112365">
      <w:pPr>
        <w:tabs>
          <w:tab w:val="left" w:pos="6237"/>
          <w:tab w:val="right" w:pos="8306"/>
        </w:tabs>
        <w:spacing w:after="0" w:line="240" w:lineRule="auto"/>
        <w:rPr>
          <w:rFonts w:ascii="Times New Roman" w:eastAsia="Calibri" w:hAnsi="Times New Roman" w:cs="Times New Roman"/>
          <w:color w:val="000000"/>
          <w:sz w:val="24"/>
          <w:szCs w:val="20"/>
        </w:rPr>
      </w:pPr>
    </w:p>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3"/>
        <w:gridCol w:w="3080"/>
        <w:gridCol w:w="1789"/>
        <w:gridCol w:w="3114"/>
      </w:tblGrid>
      <w:tr w:rsidR="00112365" w:rsidRPr="00112365" w:rsidTr="00141595">
        <w:trPr>
          <w:trHeight w:val="23"/>
        </w:trPr>
        <w:tc>
          <w:tcPr>
            <w:tcW w:w="2457" w:type="dxa"/>
            <w:hideMark/>
          </w:tcPr>
          <w:p w:rsidR="00112365" w:rsidRPr="00112365" w:rsidRDefault="00112365" w:rsidP="00112365">
            <w:pPr>
              <w:rPr>
                <w:rFonts w:eastAsia="Calibri"/>
                <w:lang w:eastAsia="lt-LT"/>
              </w:rPr>
            </w:pPr>
            <w:r w:rsidRPr="00112365">
              <w:rPr>
                <w:rFonts w:eastAsia="Calibri"/>
                <w:lang w:eastAsia="lt-LT"/>
              </w:rPr>
              <w:t>Teisės akto projekto tiesioginis rengėjas:</w:t>
            </w:r>
          </w:p>
        </w:tc>
        <w:tc>
          <w:tcPr>
            <w:tcW w:w="4773" w:type="dxa"/>
            <w:tcBorders>
              <w:top w:val="nil"/>
              <w:left w:val="nil"/>
              <w:bottom w:val="single" w:sz="4" w:space="0" w:color="auto"/>
              <w:right w:val="nil"/>
            </w:tcBorders>
          </w:tcPr>
          <w:p w:rsidR="003F7BFA" w:rsidRDefault="00112365" w:rsidP="00112365">
            <w:pPr>
              <w:jc w:val="both"/>
              <w:rPr>
                <w:rFonts w:eastAsia="Calibri"/>
                <w:lang w:eastAsia="lt-LT"/>
              </w:rPr>
            </w:pPr>
            <w:r>
              <w:rPr>
                <w:rFonts w:eastAsia="Calibri"/>
                <w:lang w:eastAsia="lt-LT"/>
              </w:rPr>
              <w:t>Socialinės paramos skyriaus</w:t>
            </w:r>
            <w:r w:rsidRPr="00112365">
              <w:rPr>
                <w:rFonts w:eastAsia="Calibri"/>
                <w:lang w:eastAsia="lt-LT"/>
              </w:rPr>
              <w:t xml:space="preserve"> vyriausioji specialistė</w:t>
            </w:r>
          </w:p>
          <w:p w:rsidR="00724927" w:rsidRDefault="00112365" w:rsidP="00112365">
            <w:pPr>
              <w:jc w:val="both"/>
              <w:rPr>
                <w:rFonts w:eastAsia="Calibri"/>
                <w:lang w:eastAsia="lt-LT"/>
              </w:rPr>
            </w:pPr>
            <w:r w:rsidRPr="00112365">
              <w:rPr>
                <w:rFonts w:eastAsia="Calibri"/>
                <w:lang w:eastAsia="lt-LT"/>
              </w:rPr>
              <w:t xml:space="preserve"> </w:t>
            </w:r>
          </w:p>
          <w:p w:rsidR="00112365" w:rsidRPr="00112365" w:rsidRDefault="00112365" w:rsidP="003F7BFA">
            <w:pPr>
              <w:jc w:val="both"/>
              <w:rPr>
                <w:rFonts w:eastAsia="Calibri"/>
                <w:lang w:eastAsia="lt-LT"/>
              </w:rPr>
            </w:pPr>
            <w:r>
              <w:rPr>
                <w:rFonts w:eastAsia="Calibri"/>
                <w:lang w:eastAsia="lt-LT"/>
              </w:rPr>
              <w:t xml:space="preserve">Vaida </w:t>
            </w:r>
            <w:proofErr w:type="spellStart"/>
            <w:r>
              <w:rPr>
                <w:rFonts w:eastAsia="Calibri"/>
                <w:lang w:eastAsia="lt-LT"/>
              </w:rPr>
              <w:t>Laurukėnienė</w:t>
            </w:r>
            <w:proofErr w:type="spellEnd"/>
          </w:p>
        </w:tc>
        <w:tc>
          <w:tcPr>
            <w:tcW w:w="2434" w:type="dxa"/>
            <w:hideMark/>
          </w:tcPr>
          <w:p w:rsidR="00112365" w:rsidRPr="00112365" w:rsidRDefault="00112365" w:rsidP="00112365">
            <w:pPr>
              <w:rPr>
                <w:rFonts w:eastAsia="Calibri"/>
                <w:lang w:eastAsia="lt-LT"/>
              </w:rPr>
            </w:pPr>
            <w:r w:rsidRPr="00112365">
              <w:rPr>
                <w:rFonts w:eastAsia="Calibri"/>
                <w:lang w:eastAsia="lt-LT"/>
              </w:rPr>
              <w:t>Teisės akto projekto vertintojas:</w:t>
            </w:r>
          </w:p>
        </w:tc>
        <w:tc>
          <w:tcPr>
            <w:tcW w:w="4946" w:type="dxa"/>
            <w:tcBorders>
              <w:top w:val="nil"/>
              <w:left w:val="nil"/>
              <w:bottom w:val="single" w:sz="4" w:space="0" w:color="auto"/>
              <w:right w:val="nil"/>
            </w:tcBorders>
            <w:hideMark/>
          </w:tcPr>
          <w:p w:rsidR="00112365" w:rsidRPr="00112365" w:rsidRDefault="00112365" w:rsidP="00112365">
            <w:pPr>
              <w:rPr>
                <w:rFonts w:eastAsia="Calibri"/>
                <w:lang w:eastAsia="lt-LT"/>
              </w:rPr>
            </w:pPr>
            <w:r w:rsidRPr="00112365">
              <w:rPr>
                <w:rFonts w:eastAsia="Calibri"/>
                <w:lang w:eastAsia="lt-LT"/>
              </w:rPr>
              <w:t xml:space="preserve">Teisės, personalo ir civilinės            </w:t>
            </w:r>
          </w:p>
          <w:p w:rsidR="00112365" w:rsidRPr="00112365" w:rsidRDefault="00112365" w:rsidP="00112365">
            <w:pPr>
              <w:rPr>
                <w:rFonts w:eastAsia="Calibri"/>
                <w:lang w:eastAsia="lt-LT"/>
              </w:rPr>
            </w:pPr>
            <w:r w:rsidRPr="00112365">
              <w:rPr>
                <w:rFonts w:eastAsia="Calibri"/>
                <w:lang w:eastAsia="lt-LT"/>
              </w:rPr>
              <w:t>metrikacijos skyriaus vyriausioji specialistė</w:t>
            </w:r>
          </w:p>
          <w:p w:rsidR="00112365" w:rsidRPr="00112365" w:rsidRDefault="00112365" w:rsidP="00112365">
            <w:pPr>
              <w:rPr>
                <w:rFonts w:eastAsia="Calibri"/>
                <w:lang w:eastAsia="lt-LT"/>
              </w:rPr>
            </w:pPr>
            <w:r w:rsidRPr="00112365">
              <w:rPr>
                <w:rFonts w:eastAsia="Calibri"/>
                <w:lang w:eastAsia="lt-LT"/>
              </w:rPr>
              <w:t xml:space="preserve">Sigita </w:t>
            </w:r>
            <w:proofErr w:type="spellStart"/>
            <w:r w:rsidRPr="00112365">
              <w:rPr>
                <w:rFonts w:eastAsia="Calibri"/>
                <w:lang w:eastAsia="lt-LT"/>
              </w:rPr>
              <w:t>Mačytė-Šulskienė</w:t>
            </w:r>
            <w:proofErr w:type="spellEnd"/>
          </w:p>
        </w:tc>
      </w:tr>
      <w:tr w:rsidR="00112365" w:rsidRPr="00112365" w:rsidTr="00141595">
        <w:trPr>
          <w:trHeight w:val="23"/>
        </w:trPr>
        <w:tc>
          <w:tcPr>
            <w:tcW w:w="2457" w:type="dxa"/>
          </w:tcPr>
          <w:p w:rsidR="00112365" w:rsidRPr="00112365" w:rsidRDefault="00112365" w:rsidP="00112365">
            <w:pPr>
              <w:rPr>
                <w:rFonts w:eastAsia="Calibri"/>
                <w:lang w:eastAsia="lt-LT"/>
              </w:rPr>
            </w:pPr>
          </w:p>
        </w:tc>
        <w:tc>
          <w:tcPr>
            <w:tcW w:w="4773" w:type="dxa"/>
            <w:tcBorders>
              <w:top w:val="single" w:sz="4" w:space="0" w:color="auto"/>
              <w:left w:val="nil"/>
              <w:bottom w:val="nil"/>
              <w:right w:val="nil"/>
            </w:tcBorders>
            <w:hideMark/>
          </w:tcPr>
          <w:p w:rsidR="00112365" w:rsidRPr="00112365" w:rsidRDefault="00112365" w:rsidP="00112365">
            <w:pPr>
              <w:ind w:left="-11" w:firstLine="11"/>
              <w:rPr>
                <w:rFonts w:eastAsia="Calibri"/>
                <w:lang w:eastAsia="lt-LT"/>
              </w:rPr>
            </w:pPr>
            <w:r>
              <w:rPr>
                <w:rFonts w:eastAsia="Calibri"/>
                <w:lang w:eastAsia="lt-LT"/>
              </w:rPr>
              <w:t xml:space="preserve">(pareigos)       </w:t>
            </w:r>
            <w:r w:rsidRPr="00112365">
              <w:rPr>
                <w:rFonts w:eastAsia="Calibri"/>
                <w:lang w:eastAsia="lt-LT"/>
              </w:rPr>
              <w:t xml:space="preserve"> (vardas ir pavardė)</w:t>
            </w:r>
          </w:p>
        </w:tc>
        <w:tc>
          <w:tcPr>
            <w:tcW w:w="2434" w:type="dxa"/>
          </w:tcPr>
          <w:p w:rsidR="00112365" w:rsidRPr="00112365" w:rsidRDefault="00112365" w:rsidP="00112365">
            <w:pPr>
              <w:rPr>
                <w:rFonts w:eastAsia="Calibri"/>
                <w:lang w:eastAsia="lt-LT"/>
              </w:rPr>
            </w:pPr>
          </w:p>
        </w:tc>
        <w:tc>
          <w:tcPr>
            <w:tcW w:w="4946" w:type="dxa"/>
            <w:tcBorders>
              <w:top w:val="single" w:sz="4" w:space="0" w:color="auto"/>
              <w:left w:val="nil"/>
              <w:bottom w:val="nil"/>
              <w:right w:val="nil"/>
            </w:tcBorders>
            <w:hideMark/>
          </w:tcPr>
          <w:p w:rsidR="00112365" w:rsidRPr="00112365" w:rsidRDefault="00112365" w:rsidP="00112365">
            <w:pPr>
              <w:ind w:left="-11" w:firstLine="11"/>
              <w:rPr>
                <w:rFonts w:eastAsia="Calibri"/>
                <w:lang w:eastAsia="lt-LT"/>
              </w:rPr>
            </w:pPr>
            <w:r w:rsidRPr="00112365">
              <w:rPr>
                <w:rFonts w:eastAsia="Calibri"/>
                <w:lang w:eastAsia="lt-LT"/>
              </w:rPr>
              <w:t>(pareigos)                                      (vardas ir pavardė)</w:t>
            </w:r>
          </w:p>
        </w:tc>
      </w:tr>
      <w:tr w:rsidR="00112365" w:rsidRPr="00112365" w:rsidTr="00141595">
        <w:trPr>
          <w:trHeight w:val="23"/>
        </w:trPr>
        <w:tc>
          <w:tcPr>
            <w:tcW w:w="2457" w:type="dxa"/>
          </w:tcPr>
          <w:p w:rsidR="00112365" w:rsidRPr="00112365" w:rsidRDefault="00112365" w:rsidP="00112365">
            <w:pPr>
              <w:rPr>
                <w:rFonts w:eastAsia="Calibri"/>
                <w:lang w:eastAsia="lt-LT"/>
              </w:rPr>
            </w:pPr>
          </w:p>
        </w:tc>
        <w:tc>
          <w:tcPr>
            <w:tcW w:w="4773" w:type="dxa"/>
            <w:tcBorders>
              <w:top w:val="nil"/>
              <w:left w:val="nil"/>
              <w:bottom w:val="single" w:sz="4" w:space="0" w:color="auto"/>
              <w:right w:val="nil"/>
            </w:tcBorders>
          </w:tcPr>
          <w:p w:rsidR="00112365" w:rsidRPr="00112365" w:rsidRDefault="00112365" w:rsidP="00112365">
            <w:pPr>
              <w:rPr>
                <w:rFonts w:eastAsia="Calibri"/>
                <w:lang w:eastAsia="lt-LT"/>
              </w:rPr>
            </w:pPr>
          </w:p>
          <w:p w:rsidR="00112365" w:rsidRPr="00112365" w:rsidRDefault="00112365" w:rsidP="00112365">
            <w:pPr>
              <w:rPr>
                <w:rFonts w:eastAsia="Calibri"/>
                <w:lang w:eastAsia="lt-LT"/>
              </w:rPr>
            </w:pPr>
          </w:p>
        </w:tc>
        <w:tc>
          <w:tcPr>
            <w:tcW w:w="2434" w:type="dxa"/>
          </w:tcPr>
          <w:p w:rsidR="00112365" w:rsidRPr="00112365" w:rsidRDefault="00112365" w:rsidP="00112365">
            <w:pPr>
              <w:rPr>
                <w:rFonts w:eastAsia="Calibri"/>
                <w:lang w:eastAsia="lt-LT"/>
              </w:rPr>
            </w:pPr>
          </w:p>
        </w:tc>
        <w:tc>
          <w:tcPr>
            <w:tcW w:w="4946" w:type="dxa"/>
            <w:tcBorders>
              <w:top w:val="nil"/>
              <w:left w:val="nil"/>
              <w:bottom w:val="single" w:sz="4" w:space="0" w:color="auto"/>
              <w:right w:val="nil"/>
            </w:tcBorders>
          </w:tcPr>
          <w:p w:rsidR="00112365" w:rsidRPr="00112365" w:rsidRDefault="00112365" w:rsidP="00112365">
            <w:pPr>
              <w:ind w:left="-11" w:firstLine="11"/>
              <w:rPr>
                <w:rFonts w:eastAsia="Calibri"/>
                <w:lang w:eastAsia="lt-LT"/>
              </w:rPr>
            </w:pPr>
          </w:p>
        </w:tc>
      </w:tr>
      <w:tr w:rsidR="00112365" w:rsidRPr="00112365" w:rsidTr="00141595">
        <w:trPr>
          <w:trHeight w:val="23"/>
        </w:trPr>
        <w:tc>
          <w:tcPr>
            <w:tcW w:w="2457" w:type="dxa"/>
          </w:tcPr>
          <w:p w:rsidR="00112365" w:rsidRPr="00112365" w:rsidRDefault="00112365" w:rsidP="00112365">
            <w:pPr>
              <w:rPr>
                <w:rFonts w:eastAsia="Calibri"/>
                <w:lang w:eastAsia="lt-LT"/>
              </w:rPr>
            </w:pPr>
          </w:p>
        </w:tc>
        <w:tc>
          <w:tcPr>
            <w:tcW w:w="4773" w:type="dxa"/>
            <w:hideMark/>
          </w:tcPr>
          <w:p w:rsidR="00112365" w:rsidRDefault="00112365" w:rsidP="00112365">
            <w:pPr>
              <w:ind w:left="-11" w:firstLine="11"/>
              <w:rPr>
                <w:rFonts w:eastAsia="Calibri"/>
                <w:lang w:eastAsia="lt-LT"/>
              </w:rPr>
            </w:pPr>
            <w:r w:rsidRPr="00112365">
              <w:rPr>
                <w:rFonts w:eastAsia="Calibri"/>
                <w:lang w:eastAsia="lt-LT"/>
              </w:rPr>
              <w:t xml:space="preserve">(parašas)                             </w:t>
            </w:r>
          </w:p>
          <w:p w:rsidR="00112365" w:rsidRPr="00112365" w:rsidRDefault="003F7BFA" w:rsidP="00112365">
            <w:pPr>
              <w:ind w:left="-11" w:firstLine="11"/>
              <w:rPr>
                <w:rFonts w:eastAsia="Calibri"/>
                <w:lang w:eastAsia="lt-LT"/>
              </w:rPr>
            </w:pPr>
            <w:r>
              <w:rPr>
                <w:rFonts w:eastAsia="Calibri"/>
                <w:lang w:eastAsia="lt-LT"/>
              </w:rPr>
              <w:t>2020-05-</w:t>
            </w:r>
          </w:p>
        </w:tc>
        <w:tc>
          <w:tcPr>
            <w:tcW w:w="2434" w:type="dxa"/>
          </w:tcPr>
          <w:p w:rsidR="00112365" w:rsidRPr="00112365" w:rsidRDefault="00112365" w:rsidP="00112365">
            <w:pPr>
              <w:rPr>
                <w:rFonts w:eastAsia="Calibri"/>
                <w:lang w:eastAsia="lt-LT"/>
              </w:rPr>
            </w:pPr>
          </w:p>
        </w:tc>
        <w:tc>
          <w:tcPr>
            <w:tcW w:w="4946" w:type="dxa"/>
            <w:tcBorders>
              <w:top w:val="single" w:sz="4" w:space="0" w:color="auto"/>
              <w:left w:val="nil"/>
              <w:bottom w:val="nil"/>
              <w:right w:val="nil"/>
            </w:tcBorders>
            <w:hideMark/>
          </w:tcPr>
          <w:p w:rsidR="00112365" w:rsidRPr="00112365" w:rsidRDefault="00112365" w:rsidP="00112365">
            <w:pPr>
              <w:ind w:left="-11" w:firstLine="11"/>
              <w:rPr>
                <w:rFonts w:eastAsia="Calibri"/>
                <w:lang w:eastAsia="lt-LT"/>
              </w:rPr>
            </w:pPr>
            <w:r w:rsidRPr="00112365">
              <w:rPr>
                <w:rFonts w:eastAsia="Calibri"/>
                <w:lang w:eastAsia="lt-LT"/>
              </w:rPr>
              <w:t xml:space="preserve"> (parašas)                                           </w:t>
            </w:r>
            <w:r w:rsidR="003F7BFA">
              <w:rPr>
                <w:rFonts w:eastAsia="Calibri"/>
                <w:lang w:eastAsia="lt-LT"/>
              </w:rPr>
              <w:t>2020-05-</w:t>
            </w:r>
          </w:p>
        </w:tc>
      </w:tr>
    </w:tbl>
    <w:p w:rsidR="00112365" w:rsidRPr="00112365" w:rsidRDefault="00112365" w:rsidP="00112365">
      <w:pPr>
        <w:tabs>
          <w:tab w:val="left" w:pos="6237"/>
          <w:tab w:val="right" w:pos="8306"/>
        </w:tabs>
        <w:spacing w:after="0" w:line="240" w:lineRule="auto"/>
        <w:rPr>
          <w:rFonts w:ascii="Times New Roman" w:eastAsia="Calibri" w:hAnsi="Times New Roman" w:cs="Times New Roman"/>
          <w:color w:val="000000"/>
          <w:sz w:val="24"/>
          <w:szCs w:val="20"/>
        </w:rPr>
      </w:pPr>
    </w:p>
    <w:p w:rsidR="00112365" w:rsidRPr="00112365" w:rsidRDefault="00112365" w:rsidP="00112365">
      <w:pPr>
        <w:spacing w:after="160" w:line="256" w:lineRule="auto"/>
        <w:rPr>
          <w:rFonts w:ascii="Times New Roman" w:eastAsia="Calibri" w:hAnsi="Times New Roman" w:cs="Times New Roman"/>
          <w:sz w:val="24"/>
        </w:rPr>
      </w:pPr>
    </w:p>
    <w:p w:rsidR="00112365" w:rsidRPr="00112365" w:rsidRDefault="00112365" w:rsidP="00112365">
      <w:pPr>
        <w:spacing w:after="160" w:line="256" w:lineRule="auto"/>
        <w:rPr>
          <w:rFonts w:ascii="Times New Roman" w:eastAsia="Calibri" w:hAnsi="Times New Roman" w:cs="Times New Roman"/>
          <w:sz w:val="24"/>
        </w:rPr>
      </w:pPr>
    </w:p>
    <w:p w:rsidR="00112365" w:rsidRPr="00112365" w:rsidRDefault="00112365" w:rsidP="00112365">
      <w:pPr>
        <w:spacing w:after="160" w:line="256" w:lineRule="auto"/>
        <w:rPr>
          <w:rFonts w:ascii="Times New Roman" w:eastAsia="Calibri" w:hAnsi="Times New Roman" w:cs="Times New Roman"/>
          <w:sz w:val="24"/>
        </w:rPr>
      </w:pPr>
    </w:p>
    <w:p w:rsidR="00112365" w:rsidRPr="00112365" w:rsidRDefault="00112365" w:rsidP="00112365">
      <w:pPr>
        <w:spacing w:after="160" w:line="259" w:lineRule="auto"/>
        <w:rPr>
          <w:rFonts w:ascii="Times New Roman" w:eastAsia="Calibri" w:hAnsi="Times New Roman" w:cs="Times New Roman"/>
          <w:sz w:val="24"/>
        </w:rPr>
      </w:pPr>
    </w:p>
    <w:p w:rsidR="00401694" w:rsidRDefault="00401694"/>
    <w:sectPr w:rsidR="00401694" w:rsidSect="00724927">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029" w:rsidRDefault="00553029" w:rsidP="00112365">
      <w:pPr>
        <w:spacing w:after="0" w:line="240" w:lineRule="auto"/>
      </w:pPr>
      <w:r>
        <w:separator/>
      </w:r>
    </w:p>
  </w:endnote>
  <w:endnote w:type="continuationSeparator" w:id="0">
    <w:p w:rsidR="00553029" w:rsidRDefault="00553029" w:rsidP="00112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029" w:rsidRDefault="00553029" w:rsidP="00112365">
      <w:pPr>
        <w:spacing w:after="0" w:line="240" w:lineRule="auto"/>
      </w:pPr>
      <w:r>
        <w:separator/>
      </w:r>
    </w:p>
  </w:footnote>
  <w:footnote w:type="continuationSeparator" w:id="0">
    <w:p w:rsidR="00553029" w:rsidRDefault="00553029" w:rsidP="00112365">
      <w:pPr>
        <w:spacing w:after="0" w:line="240" w:lineRule="auto"/>
      </w:pPr>
      <w:r>
        <w:continuationSeparator/>
      </w:r>
    </w:p>
  </w:footnote>
  <w:footnote w:id="1">
    <w:p w:rsidR="00112365" w:rsidRDefault="00112365" w:rsidP="00112365">
      <w:pPr>
        <w:pStyle w:val="Puslapioinaostekstas"/>
        <w:jc w:val="both"/>
      </w:pPr>
      <w:r>
        <w:rPr>
          <w:rStyle w:val="Puslapioinaosnuoroda"/>
        </w:rPr>
        <w:footnoteRef/>
      </w:r>
      <w:r>
        <w:t>Jeigu tas pats kriterijus taikomas kelioms teisės akto projekto nuostatoms, nurodyti ir konkrečias teisės akto projekto nuostatas, dėl kurių galima korupcijos rizika nepašalinta ar kuriai valdyti teisės akto projekte nenumatyta priemonių.</w:t>
      </w:r>
    </w:p>
  </w:footnote>
  <w:footnote w:id="2">
    <w:p w:rsidR="00112365" w:rsidRDefault="00112365" w:rsidP="00112365">
      <w:pPr>
        <w:pStyle w:val="Puslapioinaostekstas"/>
        <w:jc w:val="both"/>
      </w:pPr>
      <w:r>
        <w:rPr>
          <w:rStyle w:val="Puslapioinaosnuoroda"/>
        </w:rPr>
        <w:footnoteRef/>
      </w:r>
      <w:r>
        <w:t xml:space="preserve"> </w:t>
      </w:r>
      <w:r>
        <w:t>Tas pat.</w:t>
      </w:r>
    </w:p>
  </w:footnote>
  <w:footnote w:id="3">
    <w:p w:rsidR="00112365" w:rsidRDefault="00112365" w:rsidP="00112365">
      <w:pPr>
        <w:pStyle w:val="Puslapioinaostekstas"/>
        <w:jc w:val="both"/>
      </w:pPr>
      <w:r>
        <w:rPr>
          <w:rStyle w:val="Puslapioinaosnuoroda"/>
        </w:rPr>
        <w:footnoteRef/>
      </w:r>
      <w:r>
        <w:t>Pavyzdžiui,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panašiai.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365"/>
    <w:rsid w:val="00106FE5"/>
    <w:rsid w:val="00112365"/>
    <w:rsid w:val="001451FA"/>
    <w:rsid w:val="00160205"/>
    <w:rsid w:val="00325167"/>
    <w:rsid w:val="003B7503"/>
    <w:rsid w:val="003F7BFA"/>
    <w:rsid w:val="00401694"/>
    <w:rsid w:val="00510C0F"/>
    <w:rsid w:val="00521C26"/>
    <w:rsid w:val="00553029"/>
    <w:rsid w:val="00562530"/>
    <w:rsid w:val="0065690B"/>
    <w:rsid w:val="00724927"/>
    <w:rsid w:val="00876830"/>
    <w:rsid w:val="00955BF6"/>
    <w:rsid w:val="00960EF0"/>
    <w:rsid w:val="00D10DFC"/>
    <w:rsid w:val="00ED5A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12365"/>
    <w:pPr>
      <w:spacing w:after="0" w:line="240" w:lineRule="auto"/>
    </w:pPr>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112365"/>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112365"/>
    <w:rPr>
      <w:vertAlign w:val="superscript"/>
    </w:rPr>
  </w:style>
  <w:style w:type="table" w:styleId="Lentelstinklelis">
    <w:name w:val="Table Grid"/>
    <w:basedOn w:val="prastojilentel"/>
    <w:uiPriority w:val="59"/>
    <w:rsid w:val="001123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12365"/>
    <w:pPr>
      <w:spacing w:after="0" w:line="240" w:lineRule="auto"/>
    </w:pPr>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112365"/>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112365"/>
    <w:rPr>
      <w:vertAlign w:val="superscript"/>
    </w:rPr>
  </w:style>
  <w:style w:type="table" w:styleId="Lentelstinklelis">
    <w:name w:val="Table Grid"/>
    <w:basedOn w:val="prastojilentel"/>
    <w:uiPriority w:val="59"/>
    <w:rsid w:val="001123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3733</Words>
  <Characters>2128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„Windows“ vartotojas</cp:lastModifiedBy>
  <cp:revision>2</cp:revision>
  <dcterms:created xsi:type="dcterms:W3CDTF">2020-05-21T09:55:00Z</dcterms:created>
  <dcterms:modified xsi:type="dcterms:W3CDTF">2020-05-21T09:55:00Z</dcterms:modified>
</cp:coreProperties>
</file>